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714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  <w:shd w:val="clear" w:color="auto" w:fill="F2F2F2"/>
            <w:vAlign w:val="top"/>
          </w:tcPr>
          <w:p>
            <w:pPr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0"/>
                <w:sz w:val="20"/>
                <w:szCs w:val="20"/>
              </w:rPr>
              <w:t>PODACI O POREZNOM OBVEZNIKU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b/>
                <w:i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w w:val="100"/>
                <w:sz w:val="16"/>
                <w:szCs w:val="16"/>
              </w:rPr>
              <w:t xml:space="preserve">Evidencijski </w:t>
            </w:r>
          </w:p>
          <w:p>
            <w:pPr>
              <w:rPr>
                <w:rFonts w:ascii="Arial" w:hAnsi="Arial" w:cs="Arial"/>
                <w:b/>
                <w:i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w w:val="100"/>
                <w:sz w:val="16"/>
                <w:szCs w:val="16"/>
              </w:rPr>
              <w:t>broj predmeta:</w:t>
            </w:r>
          </w:p>
          <w:p>
            <w:pPr>
              <w:rPr>
                <w:rFonts w:ascii="Arial" w:hAnsi="Arial" w:cs="Arial"/>
                <w:i/>
                <w:w w:val="100"/>
                <w:sz w:val="16"/>
                <w:szCs w:val="16"/>
              </w:rPr>
            </w:pPr>
          </w:p>
        </w:tc>
        <w:tc>
          <w:tcPr>
            <w:tcW w:w="3714" w:type="dxa"/>
            <w:vAlign w:val="top"/>
          </w:tcPr>
          <w:p>
            <w:pPr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eastAsia="Calibri" w:cs="Arial"/>
                <w:b/>
                <w:w w:val="100"/>
                <w:sz w:val="16"/>
                <w:szCs w:val="16"/>
                <w:lang w:bidi="ar-SA"/>
              </w:rPr>
              <w:pict>
                <v:rect id="Pravokutnik 1" o:spid="_x0000_s1026" style="position:absolute;left:0;margin-left:147.8pt;margin-top:4.3pt;height:15pt;width:20pt;rotation:0f;z-index:251659264;" o:ole="f" fillcolor="#FFFFFF" filled="t" o:preferrelative="t" stroked="t" coordsize="21600,21600">
                  <v:stroke weight="2pt" color="#000000" color2="#FFFFFF" miterlimit="2"/>
                  <v:imagedata gain="65536f" blacklevel="0f" gamma="0"/>
                  <o:lock v:ext="edit" position="f" selection="f" grouping="f" rotation="f" cropping="f" text="f" aspectratio="f"/>
                </v:rect>
              </w:pict>
            </w: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 xml:space="preserve">VLASNIK NEKRETNINE </w:t>
            </w:r>
          </w:p>
        </w:tc>
        <w:tc>
          <w:tcPr>
            <w:tcW w:w="3486" w:type="dxa"/>
            <w:vAlign w:val="top"/>
          </w:tcPr>
          <w:p>
            <w:pPr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eastAsia="Calibri" w:cs="Arial"/>
                <w:b/>
                <w:w w:val="100"/>
                <w:sz w:val="16"/>
                <w:szCs w:val="16"/>
                <w:lang w:bidi="ar-SA"/>
              </w:rPr>
              <w:pict>
                <v:rect id="Pravokutnik 2" o:spid="_x0000_s1027" style="position:absolute;left:0;margin-left:132pt;margin-top:4pt;height:16pt;width:20pt;rotation:0f;z-index:251660288;" o:ole="f" fillcolor="#FFFFFF" filled="t" o:preferrelative="t" stroked="t" coordsize="21600,21600">
                  <v:stroke weight="2pt" color="#000000" color2="#FFFFFF" miterlimit="2"/>
                  <v:imagedata gain="65536f" blacklevel="0f" gamma="0"/>
                  <o:lock v:ext="edit" position="f" selection="f" grouping="f" rotation="f" cropping="f" text="f" aspectratio="f"/>
                </v:rect>
              </w:pict>
            </w: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KORISNIK NEKRETNINE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OIB VLASNIKA/KORISNIKA NEKRETNINE</w:t>
            </w:r>
          </w:p>
        </w:tc>
        <w:tc>
          <w:tcPr>
            <w:tcW w:w="7200" w:type="dxa"/>
            <w:gridSpan w:val="2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IME I PREZIME VLASNIKA/KORISNIKA NEKRETNINE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vAlign w:val="top"/>
          </w:tcPr>
          <w:p>
            <w:pPr>
              <w:rPr>
                <w:rFonts w:ascii="Arial" w:hAnsi="Arial" w:cs="Arial"/>
                <w:b/>
                <w:w w:val="100"/>
                <w:sz w:val="16"/>
                <w:szCs w:val="16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Adresa prebivališta/sjedišta osoba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vAlign w:val="top"/>
          </w:tcPr>
          <w:p>
            <w:pPr>
              <w:rPr>
                <w:rFonts w:ascii="Arial" w:hAnsi="Arial" w:cs="Arial"/>
                <w:b/>
                <w:w w:val="100"/>
                <w:sz w:val="16"/>
                <w:szCs w:val="16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Adresa za zaprimanje pismena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Kontakt telefon/mobitel: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E-mail adresa: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</w:tbl>
    <w:p>
      <w:pPr>
        <w:ind w:left="-709"/>
        <w:rPr>
          <w:rFonts w:ascii="Arial" w:hAnsi="Arial" w:cs="Arial"/>
          <w:b/>
          <w:w w:val="100"/>
          <w:sz w:val="10"/>
          <w:szCs w:val="10"/>
          <w:u w:val="single"/>
        </w:rPr>
      </w:pPr>
    </w:p>
    <w:tbl>
      <w:tblPr>
        <w:tblW w:w="10456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9"/>
        <w:gridCol w:w="5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  <w:shd w:val="clear" w:color="auto" w:fill="F2F2F2"/>
            <w:vAlign w:val="top"/>
          </w:tcPr>
          <w:p>
            <w:pPr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0"/>
                <w:sz w:val="20"/>
                <w:szCs w:val="20"/>
              </w:rPr>
              <w:t>PODACI O ČLANOVIMA KUĆANSTVA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9" w:type="dxa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OIB, PREZIME I IME</w:t>
            </w:r>
          </w:p>
        </w:tc>
        <w:tc>
          <w:tcPr>
            <w:tcW w:w="5357" w:type="dxa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OIB, PREZIME I 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9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1.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5357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099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2.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5357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9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3.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5357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9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4.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5357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9.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9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5.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5357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10.</w:t>
            </w:r>
          </w:p>
        </w:tc>
      </w:tr>
    </w:tbl>
    <w:p>
      <w:pPr>
        <w:ind w:left="-709"/>
        <w:rPr>
          <w:rFonts w:ascii="Arial" w:hAnsi="Arial" w:cs="Arial"/>
          <w:b/>
          <w:w w:val="100"/>
          <w:sz w:val="20"/>
          <w:szCs w:val="20"/>
          <w:u w:val="single"/>
        </w:rPr>
      </w:pPr>
    </w:p>
    <w:tbl>
      <w:tblPr>
        <w:tblW w:w="10456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0"/>
        <w:gridCol w:w="3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  <w:shd w:val="clear" w:color="auto" w:fill="F2F2F2"/>
            <w:vAlign w:val="top"/>
          </w:tcPr>
          <w:p>
            <w:pPr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0"/>
                <w:sz w:val="20"/>
                <w:szCs w:val="20"/>
              </w:rPr>
              <w:t>PODACI O NEKRETNINI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0" w:type="dxa"/>
            <w:vAlign w:val="top"/>
          </w:tcPr>
          <w:p>
            <w:pPr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Adresni podaci o građevini</w:t>
            </w:r>
          </w:p>
          <w:p>
            <w:pPr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</w:p>
        </w:tc>
        <w:tc>
          <w:tcPr>
            <w:tcW w:w="3656" w:type="dxa"/>
            <w:vAlign w:val="top"/>
          </w:tcPr>
          <w:p>
            <w:pPr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Podaci o oporezivom zemljištu</w:t>
            </w:r>
          </w:p>
          <w:p>
            <w:pPr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0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Naselje, ulica i kućni broj: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36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800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Kat. općina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36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Kat. općina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0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Kat. čestica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36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Kat. čestica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0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ZK uložak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36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 xml:space="preserve">ZK uložak </w:t>
            </w:r>
          </w:p>
        </w:tc>
      </w:tr>
    </w:tbl>
    <w:p>
      <w:pPr>
        <w:rPr>
          <w:rFonts w:ascii="Arial" w:hAnsi="Arial" w:cs="Arial"/>
          <w:b/>
          <w:w w:val="100"/>
          <w:sz w:val="10"/>
          <w:szCs w:val="10"/>
        </w:rPr>
      </w:pPr>
    </w:p>
    <w:tbl>
      <w:tblPr>
        <w:tblW w:w="1049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417"/>
        <w:gridCol w:w="1134"/>
        <w:gridCol w:w="1017"/>
        <w:gridCol w:w="1393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261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Namjena nekretnine</w:t>
            </w:r>
          </w:p>
        </w:tc>
        <w:tc>
          <w:tcPr>
            <w:tcW w:w="1417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 xml:space="preserve">Korisna površina </w:t>
            </w:r>
            <w:r>
              <w:rPr>
                <w:rFonts w:ascii="Arial" w:hAnsi="Arial" w:cs="Arial"/>
                <w:w w:val="100"/>
                <w:sz w:val="16"/>
                <w:szCs w:val="16"/>
              </w:rPr>
              <w:t>(m2)</w:t>
            </w:r>
          </w:p>
        </w:tc>
        <w:tc>
          <w:tcPr>
            <w:tcW w:w="1134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Stanje nekretnine *</w:t>
            </w:r>
          </w:p>
          <w:p>
            <w:pPr>
              <w:jc w:val="center"/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(1, 2, 3)</w:t>
            </w:r>
          </w:p>
        </w:tc>
        <w:tc>
          <w:tcPr>
            <w:tcW w:w="1017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Godina izgradnje</w:t>
            </w:r>
          </w:p>
        </w:tc>
        <w:tc>
          <w:tcPr>
            <w:tcW w:w="1393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 xml:space="preserve">Godina zadnje rekonstrukcije </w:t>
            </w:r>
          </w:p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Vlasnički udio</w:t>
            </w:r>
          </w:p>
        </w:tc>
        <w:tc>
          <w:tcPr>
            <w:tcW w:w="1134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Oznaka djelatnosti iz NKD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1.1. Stambeni prostor za trajno stanovanje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1.2. Stambeni prostor koji ne služi trajnom stanovanju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1.3. Stambeni prostor koji služi za iznajmljivanje turistima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1.4. Prostor koji koriste neprofitne organizacije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1.5. Garažni prostor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1.6. Druge pomoćne prostorije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2.1. Prostori bez namjene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2.2. Poslovni prostor: proizvodna djelatnost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2.3. Poslovni prostor: hoteli, apartmansko naselje i kampovi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2.4. Poslovni prostor: ostale djelatnosti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261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2.5. Poslovni prostor na području kulturno povijesne cjeline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eastAsia="Calibri" w:cs="Arial"/>
                <w:w w:val="100"/>
                <w:sz w:val="13"/>
                <w:szCs w:val="13"/>
                <w:lang w:bidi="ar-SA"/>
              </w:rPr>
              <w:pict>
                <v:rect id="Tekstni okvir 2" o:spid="_x0000_s1028" style="position:absolute;left:0;margin-left:7.45pt;margin-top:6.55pt;height:16.6pt;width:99.75pt;rotation:17694720f;z-index:251658240;" o:ole="f" fillcolor="#FFFFFF" filled="f" o:preferrelative="t" stroked="f" coordsize="21600,21600">
                  <v:fill on="f" color2="#FFFFFF" focus="0%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municipalsoft</w:t>
                        </w:r>
                      </w:p>
                    </w:txbxContent>
                  </v:textbox>
                </v:rect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 xml:space="preserve">2.6. Zemljište koje služi u svrhu obavljanja poslovne djelatnosti 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3. Neizgrađeno građevinsko zemljište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</w:tbl>
    <w:p>
      <w:pPr>
        <w:rPr>
          <w:rFonts w:ascii="Arial" w:hAnsi="Arial" w:cs="Arial"/>
          <w:w w:val="100"/>
          <w:sz w:val="13"/>
          <w:szCs w:val="13"/>
        </w:rPr>
      </w:pPr>
    </w:p>
    <w:p>
      <w:pPr>
        <w:rPr>
          <w:rFonts w:ascii="Arial" w:hAnsi="Arial" w:cs="Arial"/>
          <w:w w:val="100"/>
          <w:sz w:val="13"/>
          <w:szCs w:val="13"/>
        </w:rPr>
      </w:pPr>
      <w:r>
        <w:rPr>
          <w:rFonts w:ascii="Arial" w:hAnsi="Arial" w:cs="Arial"/>
          <w:b/>
          <w:bCs/>
          <w:w w:val="100"/>
          <w:sz w:val="13"/>
          <w:szCs w:val="13"/>
        </w:rPr>
        <w:t>* Stanje nekretnine</w:t>
      </w:r>
      <w:r>
        <w:rPr>
          <w:rFonts w:ascii="Arial" w:hAnsi="Arial" w:cs="Arial"/>
          <w:w w:val="100"/>
          <w:sz w:val="13"/>
          <w:szCs w:val="13"/>
        </w:rPr>
        <w:t xml:space="preserve">: </w:t>
      </w:r>
      <w:r>
        <w:rPr>
          <w:rFonts w:ascii="Arial" w:hAnsi="Arial" w:cs="Arial"/>
          <w:b/>
          <w:w w:val="100"/>
          <w:sz w:val="13"/>
          <w:szCs w:val="13"/>
        </w:rPr>
        <w:t>1</w:t>
      </w:r>
      <w:r>
        <w:rPr>
          <w:rFonts w:ascii="Arial" w:hAnsi="Arial" w:cs="Arial"/>
          <w:w w:val="100"/>
          <w:sz w:val="13"/>
          <w:szCs w:val="13"/>
        </w:rPr>
        <w:t xml:space="preserve"> – nije prikladna za uporabu; </w:t>
      </w:r>
      <w:r>
        <w:rPr>
          <w:rFonts w:ascii="Arial" w:hAnsi="Arial" w:cs="Arial"/>
          <w:b/>
          <w:w w:val="100"/>
          <w:sz w:val="13"/>
          <w:szCs w:val="13"/>
        </w:rPr>
        <w:t>2</w:t>
      </w:r>
      <w:r>
        <w:rPr>
          <w:rFonts w:ascii="Arial" w:hAnsi="Arial" w:cs="Arial"/>
          <w:w w:val="100"/>
          <w:sz w:val="13"/>
          <w:szCs w:val="13"/>
        </w:rPr>
        <w:t xml:space="preserve"> – prikladna za uporabu; </w:t>
      </w:r>
      <w:r>
        <w:rPr>
          <w:rFonts w:ascii="Arial" w:hAnsi="Arial" w:cs="Arial"/>
          <w:b/>
          <w:w w:val="100"/>
          <w:sz w:val="13"/>
          <w:szCs w:val="13"/>
        </w:rPr>
        <w:t>3</w:t>
      </w:r>
      <w:r>
        <w:rPr>
          <w:rFonts w:ascii="Arial" w:hAnsi="Arial" w:cs="Arial"/>
          <w:w w:val="100"/>
          <w:sz w:val="13"/>
          <w:szCs w:val="13"/>
        </w:rPr>
        <w:t xml:space="preserve"> – Prikladna za uporabu uz dodatni sadržaj (npr. bazen)</w:t>
      </w:r>
    </w:p>
    <w:p>
      <w:pPr>
        <w:rPr>
          <w:rFonts w:ascii="Arial" w:hAnsi="Arial" w:cs="Arial"/>
          <w:w w:val="100"/>
          <w:sz w:val="13"/>
          <w:szCs w:val="13"/>
        </w:rPr>
      </w:pPr>
    </w:p>
    <w:p>
      <w:pPr>
        <w:ind w:left="-851"/>
        <w:rPr>
          <w:rFonts w:ascii="Arial" w:hAnsi="Arial" w:cs="Arial"/>
          <w:w w:val="100"/>
          <w:sz w:val="13"/>
          <w:szCs w:val="13"/>
        </w:rPr>
      </w:pPr>
      <w:r>
        <w:rPr>
          <w:rFonts w:ascii="Arial" w:hAnsi="Arial" w:cs="Arial"/>
          <w:w w:val="100"/>
          <w:sz w:val="13"/>
          <w:szCs w:val="13"/>
        </w:rPr>
        <w:t>NAPOMENA:</w:t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bookmarkStart w:id="0" w:name="_GoBack"/>
      <w:bookmarkEnd w:id="0"/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</w:p>
    <w:p>
      <w:pPr>
        <w:ind w:left="5521" w:firstLine="851"/>
        <w:rPr>
          <w:rFonts w:ascii="Arial" w:hAnsi="Arial" w:cs="Arial"/>
          <w:w w:val="100"/>
          <w:sz w:val="13"/>
          <w:szCs w:val="13"/>
        </w:rPr>
      </w:pPr>
    </w:p>
    <w:p>
      <w:pPr>
        <w:ind w:left="5521" w:firstLine="851"/>
        <w:rPr>
          <w:rFonts w:ascii="Arial" w:hAnsi="Arial" w:cs="Arial"/>
          <w:w w:val="100"/>
          <w:sz w:val="13"/>
          <w:szCs w:val="13"/>
        </w:rPr>
      </w:pPr>
    </w:p>
    <w:p>
      <w:pPr>
        <w:ind w:left="5521" w:firstLine="851"/>
        <w:rPr>
          <w:rFonts w:ascii="Arial" w:hAnsi="Arial" w:cs="Arial"/>
          <w:w w:val="100"/>
          <w:sz w:val="13"/>
          <w:szCs w:val="13"/>
        </w:rPr>
      </w:pPr>
      <w:r>
        <w:rPr>
          <w:rFonts w:ascii="Arial" w:hAnsi="Arial" w:cs="Arial"/>
          <w:w w:val="100"/>
          <w:sz w:val="13"/>
          <w:szCs w:val="13"/>
        </w:rPr>
        <w:t>______________________________________</w:t>
      </w:r>
    </w:p>
    <w:p>
      <w:pPr>
        <w:rPr>
          <w:rFonts w:ascii="Arial" w:hAnsi="Arial" w:cs="Arial"/>
          <w:b/>
          <w:w w:val="100"/>
          <w:sz w:val="13"/>
          <w:szCs w:val="13"/>
        </w:rPr>
      </w:pP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b/>
          <w:w w:val="100"/>
          <w:sz w:val="13"/>
          <w:szCs w:val="13"/>
        </w:rPr>
        <w:t>VLASTORUČNI POTPIS</w:t>
      </w:r>
    </w:p>
    <w:sectPr>
      <w:pgSz w:w="11906" w:h="16838"/>
      <w:pgMar w:top="284" w:right="707" w:bottom="426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EE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EE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EE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EE"/>
    <w:family w:val="auto"/>
    <w:pitch w:val="default"/>
    <w:sig w:usb0="E10022FF" w:usb1="C000E47F" w:usb2="00000029" w:usb3="00000000" w:csb0="200001DF" w:csb1="20000000"/>
  </w:font>
  <w:font w:name="Cambria">
    <w:panose1 w:val="02040503050406030204"/>
    <w:charset w:val="EE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 w:val="1"/>
  <w:bordersDoNotSurroundFooter w:val="1"/>
  <w:documentProtection w:enforcement="0"/>
  <w:defaultTabStop w:val="708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rPr>
      <w:rFonts w:ascii="Times New Roman" w:hAnsi="Times New Roman" w:eastAsia="Calibri"/>
      <w:w w:val="150"/>
      <w:sz w:val="24"/>
      <w:szCs w:val="22"/>
      <w:lang w:eastAsia="en-US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Balloon Text"/>
    <w:basedOn w:val="1"/>
    <w:link w:val="5"/>
    <w:semiHidden/>
    <w:unhideWhenUsed/>
    <w:uiPriority w:val="99"/>
    <w:rPr>
      <w:rFonts w:ascii="Segoe UI" w:hAnsi="Segoe UI" w:cs="Segoe UI"/>
      <w:sz w:val="18"/>
      <w:szCs w:val="18"/>
    </w:r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  <w:style w:type="character" w:customStyle="1" w:styleId="5">
    <w:name w:val="Tekst balončića Char"/>
    <w:basedOn w:val="3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1443</Characters>
  <Lines>12</Lines>
  <Paragraphs>3</Paragraphs>
  <TotalTime>0</TotalTime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2017-05-25T10:51:00Z</dcterms:created>
  <dc:creator>Općina Kukljica</dc:creator>
  <cp:lastModifiedBy>kbencic</cp:lastModifiedBy>
  <cp:lastPrinted>2017-06-02T10:35:00Z</cp:lastPrinted>
  <dcterms:modified xsi:type="dcterms:W3CDTF">2017-07-07T12:56:24Z</dcterms:modified>
  <dc:title>PODACI O POREZNOM OBVEZNIKU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